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3260C" w14:textId="230C0B11" w:rsidR="00E2591A" w:rsidRPr="00D75495" w:rsidRDefault="00E2591A" w:rsidP="00920216">
      <w:pPr>
        <w:shd w:val="clear" w:color="auto" w:fill="FFFFFF"/>
        <w:spacing w:line="276" w:lineRule="auto"/>
        <w:jc w:val="both"/>
        <w:rPr>
          <w:rFonts w:ascii="Cambria" w:eastAsia="Times New Roman" w:hAnsi="Cambria" w:cs="Times New Roman"/>
          <w:b/>
          <w:bCs/>
          <w:i/>
          <w:iCs/>
          <w:color w:val="auto"/>
          <w:sz w:val="22"/>
          <w:szCs w:val="22"/>
        </w:rPr>
      </w:pPr>
      <w:r w:rsidRPr="00D75495">
        <w:rPr>
          <w:rFonts w:ascii="Cambria" w:eastAsia="Times New Roman" w:hAnsi="Cambria" w:cs="Times New Roman"/>
          <w:b/>
          <w:bCs/>
          <w:i/>
          <w:iCs/>
          <w:color w:val="auto"/>
          <w:sz w:val="22"/>
          <w:szCs w:val="22"/>
        </w:rPr>
        <w:t>Szanowni Państwo – uczestnicy projektu „</w:t>
      </w:r>
      <w:r w:rsidR="00CE4F12">
        <w:rPr>
          <w:rFonts w:ascii="Cambria" w:eastAsia="Times New Roman" w:hAnsi="Cambria" w:cs="Times New Roman"/>
          <w:b/>
          <w:bCs/>
          <w:i/>
          <w:iCs/>
          <w:color w:val="auto"/>
          <w:sz w:val="22"/>
          <w:szCs w:val="22"/>
        </w:rPr>
        <w:t>Magazyny energii = lepsze wykorzystanie energii w gminach Związku Gmin Gór Świętokrzyskich</w:t>
      </w:r>
      <w:r w:rsidRPr="00D75495">
        <w:rPr>
          <w:rFonts w:ascii="Cambria" w:eastAsia="Times New Roman" w:hAnsi="Cambria" w:cs="Times New Roman"/>
          <w:b/>
          <w:bCs/>
          <w:i/>
          <w:iCs/>
          <w:color w:val="auto"/>
          <w:sz w:val="22"/>
          <w:szCs w:val="22"/>
        </w:rPr>
        <w:t>”</w:t>
      </w:r>
    </w:p>
    <w:p w14:paraId="49A37C45" w14:textId="77777777" w:rsidR="00D20997" w:rsidRPr="00D75495" w:rsidRDefault="00D20997" w:rsidP="00920216">
      <w:pPr>
        <w:shd w:val="clear" w:color="auto" w:fill="FFFFFF"/>
        <w:spacing w:line="276" w:lineRule="auto"/>
        <w:jc w:val="both"/>
        <w:rPr>
          <w:rFonts w:ascii="Cambria" w:eastAsia="Times New Roman" w:hAnsi="Cambria" w:cs="Times New Roman"/>
          <w:b/>
          <w:bCs/>
          <w:i/>
          <w:iCs/>
          <w:color w:val="auto"/>
          <w:sz w:val="14"/>
          <w:szCs w:val="14"/>
        </w:rPr>
      </w:pPr>
    </w:p>
    <w:p w14:paraId="3E58563F" w14:textId="77777777" w:rsidR="004C00A3" w:rsidRPr="00D75495" w:rsidRDefault="004C00A3" w:rsidP="00920216">
      <w:pPr>
        <w:shd w:val="clear" w:color="auto" w:fill="FFFFFF"/>
        <w:spacing w:line="276" w:lineRule="auto"/>
        <w:jc w:val="both"/>
        <w:rPr>
          <w:rFonts w:ascii="Cambria" w:eastAsia="Times New Roman" w:hAnsi="Cambria" w:cs="Times New Roman"/>
          <w:color w:val="auto"/>
          <w:sz w:val="22"/>
          <w:szCs w:val="22"/>
          <w:u w:val="single"/>
        </w:rPr>
      </w:pPr>
    </w:p>
    <w:p w14:paraId="5F53DDB5" w14:textId="77777777" w:rsidR="00C91E65" w:rsidRPr="00D75495" w:rsidRDefault="00C91E65" w:rsidP="00920216">
      <w:pPr>
        <w:shd w:val="clear" w:color="auto" w:fill="FFFFFF"/>
        <w:spacing w:line="276" w:lineRule="auto"/>
        <w:jc w:val="both"/>
        <w:rPr>
          <w:rFonts w:ascii="Cambria" w:eastAsia="Times New Roman" w:hAnsi="Cambria" w:cs="Times New Roman"/>
          <w:color w:val="auto"/>
          <w:sz w:val="6"/>
          <w:szCs w:val="6"/>
          <w:u w:val="single"/>
        </w:rPr>
      </w:pPr>
    </w:p>
    <w:p w14:paraId="60223EFC" w14:textId="29C6B57F" w:rsidR="00C45C46" w:rsidRPr="00D75495" w:rsidRDefault="00C45C46" w:rsidP="00920216">
      <w:pPr>
        <w:shd w:val="clear" w:color="auto" w:fill="FFFFFF"/>
        <w:jc w:val="both"/>
        <w:rPr>
          <w:rFonts w:ascii="Cambria" w:eastAsia="Times New Roman" w:hAnsi="Cambria" w:cs="Times New Roman"/>
          <w:color w:val="auto"/>
          <w:sz w:val="22"/>
          <w:szCs w:val="22"/>
        </w:rPr>
      </w:pPr>
      <w:r w:rsidRPr="00D75495">
        <w:rPr>
          <w:rFonts w:ascii="Cambria" w:eastAsia="Times New Roman" w:hAnsi="Cambria" w:cs="Times New Roman"/>
          <w:color w:val="auto"/>
          <w:sz w:val="22"/>
          <w:szCs w:val="22"/>
        </w:rPr>
        <w:t>O</w:t>
      </w:r>
      <w:r w:rsidR="00D20997" w:rsidRPr="00D75495">
        <w:rPr>
          <w:rFonts w:ascii="Cambria" w:eastAsia="Times New Roman" w:hAnsi="Cambria" w:cs="Times New Roman"/>
          <w:color w:val="auto"/>
          <w:sz w:val="22"/>
          <w:szCs w:val="22"/>
        </w:rPr>
        <w:t xml:space="preserve">becnie </w:t>
      </w:r>
      <w:r w:rsidRPr="00D75495">
        <w:rPr>
          <w:rFonts w:ascii="Cambria" w:eastAsia="Times New Roman" w:hAnsi="Cambria" w:cs="Times New Roman"/>
          <w:color w:val="auto"/>
          <w:sz w:val="22"/>
          <w:szCs w:val="22"/>
        </w:rPr>
        <w:t xml:space="preserve">realizujemy Etap 1 inwestycji tj. wizje lokalne u mieszkańców, którzy złożyli </w:t>
      </w:r>
      <w:r w:rsidR="00884245" w:rsidRPr="00D75495">
        <w:rPr>
          <w:rFonts w:ascii="Cambria" w:eastAsia="Times New Roman" w:hAnsi="Cambria" w:cs="Times New Roman"/>
          <w:color w:val="auto"/>
          <w:sz w:val="22"/>
          <w:szCs w:val="22"/>
        </w:rPr>
        <w:t>deklarację</w:t>
      </w:r>
      <w:r w:rsidRPr="00D75495">
        <w:rPr>
          <w:rFonts w:ascii="Cambria" w:eastAsia="Times New Roman" w:hAnsi="Cambria" w:cs="Times New Roman"/>
          <w:color w:val="auto"/>
          <w:sz w:val="22"/>
          <w:szCs w:val="22"/>
        </w:rPr>
        <w:t xml:space="preserve"> uczestnictwa w projekcie. Wizja techniczna ma na celu:</w:t>
      </w:r>
    </w:p>
    <w:p w14:paraId="617340FD" w14:textId="77777777" w:rsidR="00C45C46" w:rsidRPr="00D75495" w:rsidRDefault="00C45C46" w:rsidP="00920216">
      <w:pPr>
        <w:shd w:val="clear" w:color="auto" w:fill="FFFFFF"/>
        <w:jc w:val="both"/>
        <w:rPr>
          <w:rFonts w:ascii="Cambria" w:eastAsia="Times New Roman" w:hAnsi="Cambria" w:cs="Times New Roman"/>
          <w:color w:val="auto"/>
          <w:sz w:val="22"/>
          <w:szCs w:val="22"/>
        </w:rPr>
      </w:pPr>
      <w:r w:rsidRPr="00D75495">
        <w:rPr>
          <w:rFonts w:ascii="Cambria" w:eastAsia="Times New Roman" w:hAnsi="Cambria" w:cs="Times New Roman"/>
          <w:color w:val="auto"/>
          <w:sz w:val="22"/>
          <w:szCs w:val="22"/>
        </w:rPr>
        <w:t xml:space="preserve">- </w:t>
      </w:r>
      <w:r w:rsidRPr="00D75495">
        <w:rPr>
          <w:rFonts w:ascii="Cambria" w:hAnsi="Cambria"/>
          <w:sz w:val="22"/>
          <w:szCs w:val="22"/>
        </w:rPr>
        <w:t xml:space="preserve">weryfikację mocy istniejącej instalacji PV </w:t>
      </w:r>
    </w:p>
    <w:p w14:paraId="09A91EE8" w14:textId="492B9BC7" w:rsidR="00C45C46" w:rsidRPr="00D75495" w:rsidRDefault="00C45C46" w:rsidP="00920216">
      <w:pPr>
        <w:shd w:val="clear" w:color="auto" w:fill="FFFFFF"/>
        <w:jc w:val="both"/>
        <w:rPr>
          <w:rFonts w:ascii="Cambria" w:hAnsi="Cambria"/>
          <w:sz w:val="22"/>
          <w:szCs w:val="22"/>
        </w:rPr>
      </w:pPr>
      <w:r w:rsidRPr="00D75495">
        <w:rPr>
          <w:rFonts w:ascii="Cambria" w:eastAsia="Times New Roman" w:hAnsi="Cambria" w:cs="Times New Roman"/>
          <w:color w:val="auto"/>
          <w:sz w:val="22"/>
          <w:szCs w:val="22"/>
        </w:rPr>
        <w:t xml:space="preserve">- </w:t>
      </w:r>
      <w:r w:rsidRPr="00D75495">
        <w:rPr>
          <w:rFonts w:ascii="Cambria" w:hAnsi="Cambria"/>
          <w:sz w:val="22"/>
          <w:szCs w:val="22"/>
        </w:rPr>
        <w:t xml:space="preserve">weryfikację techniczną pod kątem możliwości montażu magazynu energii </w:t>
      </w:r>
    </w:p>
    <w:p w14:paraId="01A4BF43" w14:textId="77777777" w:rsidR="00C45C46" w:rsidRPr="00D75495" w:rsidRDefault="00C45C46" w:rsidP="00920216">
      <w:pPr>
        <w:shd w:val="clear" w:color="auto" w:fill="FFFFFF"/>
        <w:jc w:val="both"/>
        <w:rPr>
          <w:rFonts w:ascii="Cambria" w:eastAsia="Times New Roman" w:hAnsi="Cambria" w:cs="Times New Roman"/>
          <w:color w:val="auto"/>
          <w:sz w:val="22"/>
          <w:szCs w:val="22"/>
        </w:rPr>
      </w:pPr>
      <w:r w:rsidRPr="00D75495">
        <w:rPr>
          <w:rFonts w:ascii="Cambria" w:hAnsi="Cambria"/>
          <w:sz w:val="22"/>
          <w:szCs w:val="22"/>
        </w:rPr>
        <w:t xml:space="preserve">- prawidłowe dobranie wielkości magazynu energii, </w:t>
      </w:r>
    </w:p>
    <w:p w14:paraId="59A4B149" w14:textId="0E640A1A" w:rsidR="00C45C46" w:rsidRPr="00D75495" w:rsidRDefault="00C45C46" w:rsidP="00920216">
      <w:pPr>
        <w:shd w:val="clear" w:color="auto" w:fill="FFFFFF"/>
        <w:jc w:val="both"/>
        <w:rPr>
          <w:rFonts w:ascii="Cambria" w:eastAsia="Times New Roman" w:hAnsi="Cambria" w:cs="Times New Roman"/>
          <w:color w:val="auto"/>
          <w:sz w:val="22"/>
          <w:szCs w:val="22"/>
        </w:rPr>
      </w:pPr>
      <w:r w:rsidRPr="00D75495">
        <w:rPr>
          <w:rFonts w:ascii="Cambria" w:eastAsia="Times New Roman" w:hAnsi="Cambria" w:cs="Times New Roman"/>
          <w:color w:val="auto"/>
          <w:sz w:val="22"/>
          <w:szCs w:val="22"/>
        </w:rPr>
        <w:t xml:space="preserve">- </w:t>
      </w:r>
      <w:r w:rsidRPr="00D75495">
        <w:rPr>
          <w:rFonts w:ascii="Cambria" w:hAnsi="Cambria"/>
          <w:sz w:val="22"/>
          <w:szCs w:val="22"/>
        </w:rPr>
        <w:t>weryfikację mocy przyłączeniowej z informacją dla beneficjenta o możliwej</w:t>
      </w:r>
      <w:r w:rsidR="00C91E65" w:rsidRPr="00D75495">
        <w:rPr>
          <w:rFonts w:ascii="Cambria" w:hAnsi="Cambria"/>
          <w:sz w:val="22"/>
          <w:szCs w:val="22"/>
        </w:rPr>
        <w:t xml:space="preserve"> </w:t>
      </w:r>
      <w:r w:rsidRPr="00D75495">
        <w:rPr>
          <w:rFonts w:ascii="Cambria" w:hAnsi="Cambria"/>
          <w:sz w:val="22"/>
          <w:szCs w:val="22"/>
        </w:rPr>
        <w:t>konieczności zwiększenia mocy przyłączeniowej;</w:t>
      </w:r>
    </w:p>
    <w:p w14:paraId="3808C0DB" w14:textId="77777777" w:rsidR="00C45C46" w:rsidRPr="00D75495" w:rsidRDefault="00C45C46" w:rsidP="00920216">
      <w:pPr>
        <w:shd w:val="clear" w:color="auto" w:fill="FFFFFF"/>
        <w:spacing w:after="240" w:line="276" w:lineRule="auto"/>
        <w:jc w:val="both"/>
        <w:rPr>
          <w:rFonts w:ascii="Cambria" w:eastAsia="Times New Roman" w:hAnsi="Cambria" w:cs="Times New Roman"/>
          <w:color w:val="auto"/>
          <w:sz w:val="22"/>
          <w:szCs w:val="22"/>
        </w:rPr>
      </w:pPr>
    </w:p>
    <w:p w14:paraId="03A852B6" w14:textId="77777777" w:rsidR="00C84748" w:rsidRPr="00D75495" w:rsidRDefault="00C84748" w:rsidP="00920216">
      <w:pPr>
        <w:shd w:val="clear" w:color="auto" w:fill="FFFFFF"/>
        <w:spacing w:after="240" w:line="276" w:lineRule="auto"/>
        <w:jc w:val="both"/>
        <w:rPr>
          <w:rFonts w:ascii="Cambria" w:eastAsia="Times New Roman" w:hAnsi="Cambria" w:cs="Times New Roman"/>
          <w:color w:val="auto"/>
          <w:sz w:val="22"/>
          <w:szCs w:val="22"/>
        </w:rPr>
      </w:pPr>
      <w:r w:rsidRPr="00D75495">
        <w:rPr>
          <w:rFonts w:ascii="Cambria" w:eastAsia="Times New Roman" w:hAnsi="Cambria" w:cs="Times New Roman"/>
          <w:color w:val="auto"/>
          <w:sz w:val="22"/>
          <w:szCs w:val="22"/>
        </w:rPr>
        <w:t xml:space="preserve">Moce magazynów energii będą dostosowane do mocy Państwa istniejących instalacji fotowoltaicznych zgodnie z Regulaminem Wyboru Projektów, </w:t>
      </w:r>
      <w:r w:rsidRPr="00FE7862">
        <w:rPr>
          <w:rFonts w:ascii="Cambria" w:eastAsia="Times New Roman" w:hAnsi="Cambria" w:cs="Times New Roman"/>
          <w:color w:val="auto"/>
          <w:sz w:val="22"/>
          <w:szCs w:val="22"/>
        </w:rPr>
        <w:t>Nabór nr FESW.02.03-IZ.00-001/24</w:t>
      </w:r>
      <w:r w:rsidRPr="00D75495">
        <w:rPr>
          <w:rFonts w:ascii="Cambria" w:eastAsia="Times New Roman" w:hAnsi="Cambria" w:cs="Times New Roman"/>
          <w:color w:val="auto"/>
          <w:sz w:val="22"/>
          <w:szCs w:val="22"/>
        </w:rPr>
        <w:t xml:space="preserve">. </w:t>
      </w:r>
    </w:p>
    <w:p w14:paraId="6B79CD42" w14:textId="5244BA02" w:rsidR="00C84748" w:rsidRPr="00D75495" w:rsidRDefault="00C84748" w:rsidP="00920216">
      <w:pPr>
        <w:shd w:val="clear" w:color="auto" w:fill="FFFFFF"/>
        <w:spacing w:after="240" w:line="276" w:lineRule="auto"/>
        <w:jc w:val="both"/>
        <w:rPr>
          <w:rFonts w:ascii="Cambria" w:eastAsia="Times New Roman" w:hAnsi="Cambria" w:cs="Times New Roman"/>
          <w:color w:val="auto"/>
          <w:sz w:val="22"/>
          <w:szCs w:val="22"/>
        </w:rPr>
      </w:pPr>
      <w:r w:rsidRPr="00D75495">
        <w:rPr>
          <w:rFonts w:ascii="Cambria" w:eastAsia="Times New Roman" w:hAnsi="Cambria" w:cs="Times New Roman"/>
          <w:color w:val="auto"/>
          <w:sz w:val="22"/>
          <w:szCs w:val="22"/>
        </w:rPr>
        <w:t xml:space="preserve">Dodatkowo informujemy, iż dobrana moc magazynu na tym etapie może jeszcze ulec zmianie, </w:t>
      </w:r>
      <w:r w:rsidR="00920216">
        <w:rPr>
          <w:rFonts w:ascii="Cambria" w:eastAsia="Times New Roman" w:hAnsi="Cambria" w:cs="Times New Roman"/>
          <w:color w:val="auto"/>
          <w:sz w:val="22"/>
          <w:szCs w:val="22"/>
        </w:rPr>
        <w:br/>
      </w:r>
      <w:r w:rsidRPr="00D75495">
        <w:rPr>
          <w:rFonts w:ascii="Cambria" w:eastAsia="Times New Roman" w:hAnsi="Cambria" w:cs="Times New Roman"/>
          <w:color w:val="auto"/>
          <w:sz w:val="22"/>
          <w:szCs w:val="22"/>
        </w:rPr>
        <w:t xml:space="preserve">a jej ostateczna wartość zostanie określona po rozstrzygniętym postępowaniu przetargowym </w:t>
      </w:r>
      <w:r w:rsidR="00920216">
        <w:rPr>
          <w:rFonts w:ascii="Cambria" w:eastAsia="Times New Roman" w:hAnsi="Cambria" w:cs="Times New Roman"/>
          <w:color w:val="auto"/>
          <w:sz w:val="22"/>
          <w:szCs w:val="22"/>
        </w:rPr>
        <w:br/>
      </w:r>
      <w:r w:rsidRPr="00D75495">
        <w:rPr>
          <w:rFonts w:ascii="Cambria" w:eastAsia="Times New Roman" w:hAnsi="Cambria" w:cs="Times New Roman"/>
          <w:color w:val="auto"/>
          <w:sz w:val="22"/>
          <w:szCs w:val="22"/>
        </w:rPr>
        <w:t>i wyłonieniu Wykonawcy inwestycji.</w:t>
      </w:r>
    </w:p>
    <w:p w14:paraId="427C108C" w14:textId="3346EEBB" w:rsidR="00C84748" w:rsidRPr="00D75495" w:rsidRDefault="00C84748" w:rsidP="00920216">
      <w:pPr>
        <w:shd w:val="clear" w:color="auto" w:fill="FFFFFF"/>
        <w:spacing w:after="240" w:line="276" w:lineRule="auto"/>
        <w:jc w:val="both"/>
        <w:rPr>
          <w:rFonts w:ascii="Cambria" w:eastAsia="Times New Roman" w:hAnsi="Cambria" w:cs="Times New Roman"/>
          <w:color w:val="auto"/>
          <w:sz w:val="22"/>
          <w:szCs w:val="22"/>
        </w:rPr>
      </w:pPr>
      <w:r w:rsidRPr="00D75495">
        <w:rPr>
          <w:rFonts w:ascii="Cambria" w:eastAsia="Times New Roman" w:hAnsi="Cambria" w:cs="Times New Roman"/>
          <w:color w:val="auto"/>
          <w:sz w:val="22"/>
          <w:szCs w:val="22"/>
        </w:rPr>
        <w:t>Należy pamiętać, że każdy magazyn ma dwie wartości: moc wyrażoną w kW i pojemność wyrażoną w kWh i nie należy mieszać ze sobą tych dwóch wartości. Dla Państwa ważniejszą wartością jest pojemność wyrażona w kWh, a dla Zakładu Energetycznego i warunków technicznych przyłączenia magazynu istotna jest wartość mocy magazynu wyrażona w kW.</w:t>
      </w:r>
    </w:p>
    <w:p w14:paraId="043C580A" w14:textId="6AA38726" w:rsidR="00C45C46" w:rsidRPr="00D75495" w:rsidRDefault="006E125F" w:rsidP="00920216">
      <w:pPr>
        <w:shd w:val="clear" w:color="auto" w:fill="FFFFFF"/>
        <w:spacing w:after="240" w:line="276" w:lineRule="auto"/>
        <w:jc w:val="both"/>
        <w:rPr>
          <w:rFonts w:ascii="Cambria" w:eastAsia="Times New Roman" w:hAnsi="Cambria" w:cs="Times New Roman"/>
          <w:color w:val="auto"/>
          <w:sz w:val="22"/>
          <w:szCs w:val="22"/>
        </w:rPr>
      </w:pPr>
      <w:r w:rsidRPr="00D75495">
        <w:rPr>
          <w:rFonts w:ascii="Cambria" w:eastAsia="Times New Roman" w:hAnsi="Cambria" w:cs="Times New Roman"/>
          <w:b/>
          <w:color w:val="auto"/>
          <w:sz w:val="22"/>
          <w:szCs w:val="22"/>
        </w:rPr>
        <w:t xml:space="preserve">Wartość dofinansowania to </w:t>
      </w:r>
      <w:r w:rsidR="00C45C46" w:rsidRPr="00D75495">
        <w:rPr>
          <w:rFonts w:ascii="Cambria" w:eastAsia="Times New Roman" w:hAnsi="Cambria" w:cs="Times New Roman"/>
          <w:b/>
          <w:color w:val="auto"/>
          <w:sz w:val="22"/>
          <w:szCs w:val="22"/>
        </w:rPr>
        <w:t>85%</w:t>
      </w:r>
      <w:r w:rsidRPr="00D75495">
        <w:rPr>
          <w:rFonts w:ascii="Cambria" w:eastAsia="Times New Roman" w:hAnsi="Cambria" w:cs="Times New Roman"/>
          <w:b/>
          <w:color w:val="auto"/>
          <w:sz w:val="22"/>
          <w:szCs w:val="22"/>
        </w:rPr>
        <w:t>.</w:t>
      </w:r>
    </w:p>
    <w:p w14:paraId="3F429A23" w14:textId="37D245DA" w:rsidR="00C84748" w:rsidRDefault="00CC4FC7" w:rsidP="00920216">
      <w:pPr>
        <w:shd w:val="clear" w:color="auto" w:fill="FFFFFF"/>
        <w:spacing w:line="276" w:lineRule="auto"/>
        <w:jc w:val="both"/>
        <w:rPr>
          <w:rFonts w:ascii="Cambria" w:eastAsia="Times New Roman" w:hAnsi="Cambria" w:cs="Times New Roman"/>
          <w:color w:val="auto"/>
          <w:sz w:val="22"/>
          <w:szCs w:val="22"/>
        </w:rPr>
      </w:pPr>
      <w:r w:rsidRPr="00D75495">
        <w:rPr>
          <w:rFonts w:ascii="Cambria" w:eastAsia="Times New Roman" w:hAnsi="Cambria" w:cs="Times New Roman"/>
          <w:color w:val="auto"/>
          <w:sz w:val="22"/>
          <w:szCs w:val="22"/>
        </w:rPr>
        <w:t>P</w:t>
      </w:r>
      <w:r w:rsidR="00051431" w:rsidRPr="00D75495">
        <w:rPr>
          <w:rFonts w:ascii="Cambria" w:eastAsia="Times New Roman" w:hAnsi="Cambria" w:cs="Times New Roman"/>
          <w:color w:val="auto"/>
          <w:sz w:val="22"/>
          <w:szCs w:val="22"/>
        </w:rPr>
        <w:t xml:space="preserve">o przeprowadzonych uzgodnieniach z </w:t>
      </w:r>
      <w:r w:rsidRPr="00D75495">
        <w:rPr>
          <w:rFonts w:ascii="Cambria" w:eastAsia="Times New Roman" w:hAnsi="Cambria" w:cs="Times New Roman"/>
          <w:color w:val="auto"/>
          <w:sz w:val="22"/>
          <w:szCs w:val="22"/>
        </w:rPr>
        <w:t>PGE</w:t>
      </w:r>
      <w:r w:rsidR="00051431" w:rsidRPr="00D75495">
        <w:rPr>
          <w:rFonts w:ascii="Cambria" w:eastAsia="Times New Roman" w:hAnsi="Cambria" w:cs="Times New Roman"/>
          <w:color w:val="auto"/>
          <w:sz w:val="22"/>
          <w:szCs w:val="22"/>
        </w:rPr>
        <w:t xml:space="preserve"> wiadomo</w:t>
      </w:r>
      <w:r w:rsidRPr="00D75495">
        <w:rPr>
          <w:rFonts w:ascii="Cambria" w:eastAsia="Times New Roman" w:hAnsi="Cambria" w:cs="Times New Roman"/>
          <w:color w:val="auto"/>
          <w:sz w:val="22"/>
          <w:szCs w:val="22"/>
        </w:rPr>
        <w:t xml:space="preserve"> na dzień dzisiejszy</w:t>
      </w:r>
      <w:r w:rsidR="00051431" w:rsidRPr="00D75495">
        <w:rPr>
          <w:rFonts w:ascii="Cambria" w:eastAsia="Times New Roman" w:hAnsi="Cambria" w:cs="Times New Roman"/>
          <w:color w:val="auto"/>
          <w:sz w:val="22"/>
          <w:szCs w:val="22"/>
        </w:rPr>
        <w:t xml:space="preserve">, że </w:t>
      </w:r>
      <w:r w:rsidRPr="00D75495">
        <w:rPr>
          <w:rFonts w:ascii="Cambria" w:eastAsia="Times New Roman" w:hAnsi="Cambria" w:cs="Times New Roman"/>
          <w:color w:val="auto"/>
          <w:sz w:val="22"/>
          <w:szCs w:val="22"/>
        </w:rPr>
        <w:t xml:space="preserve">montaż magazynów energii </w:t>
      </w:r>
      <w:r w:rsidRPr="00D75495">
        <w:rPr>
          <w:rFonts w:ascii="Cambria" w:eastAsia="Times New Roman" w:hAnsi="Cambria" w:cs="Times New Roman"/>
          <w:color w:val="auto"/>
          <w:sz w:val="22"/>
          <w:szCs w:val="22"/>
          <w:u w:val="single"/>
        </w:rPr>
        <w:t>nie będzie powodować zmiany warunków umownych</w:t>
      </w:r>
      <w:r w:rsidRPr="00D75495">
        <w:rPr>
          <w:rFonts w:ascii="Cambria" w:eastAsia="Times New Roman" w:hAnsi="Cambria" w:cs="Times New Roman"/>
          <w:color w:val="auto"/>
          <w:sz w:val="22"/>
          <w:szCs w:val="22"/>
        </w:rPr>
        <w:t xml:space="preserve"> i przejścia ze starych zasad rozliczeniowych na nowe</w:t>
      </w:r>
      <w:r w:rsidR="00C84748" w:rsidRPr="00D75495">
        <w:rPr>
          <w:rFonts w:ascii="Cambria" w:eastAsia="Times New Roman" w:hAnsi="Cambria" w:cs="Times New Roman"/>
          <w:color w:val="auto"/>
          <w:sz w:val="22"/>
          <w:szCs w:val="22"/>
        </w:rPr>
        <w:t xml:space="preserve">, ale może generować zmianę systemu upustu z 0,8 na 0,7 wartości oddanej energii do sieci po przekroczeniu </w:t>
      </w:r>
      <w:r w:rsidR="00836277" w:rsidRPr="00D75495">
        <w:rPr>
          <w:rFonts w:ascii="Cambria" w:eastAsia="Times New Roman" w:hAnsi="Cambria" w:cs="Times New Roman"/>
          <w:color w:val="auto"/>
          <w:sz w:val="22"/>
          <w:szCs w:val="22"/>
        </w:rPr>
        <w:t>sumy</w:t>
      </w:r>
      <w:r w:rsidR="00C84748" w:rsidRPr="00D75495">
        <w:rPr>
          <w:rFonts w:ascii="Cambria" w:eastAsia="Times New Roman" w:hAnsi="Cambria" w:cs="Times New Roman"/>
          <w:color w:val="auto"/>
          <w:sz w:val="22"/>
          <w:szCs w:val="22"/>
        </w:rPr>
        <w:t xml:space="preserve"> mocy 10kW dla posiadanej instalacji PV oraz nowo montowanego magazynu energii.</w:t>
      </w:r>
      <w:r w:rsidR="00D75495" w:rsidRPr="00D75495">
        <w:rPr>
          <w:rFonts w:ascii="Cambria" w:eastAsia="Times New Roman" w:hAnsi="Cambria" w:cs="Times New Roman"/>
          <w:color w:val="auto"/>
          <w:sz w:val="22"/>
          <w:szCs w:val="22"/>
        </w:rPr>
        <w:t xml:space="preserve"> Nie należy się jednak tego obawiać, ponieważ magazyn energii najpierw zatrzymuje i konsumuje 100% wyprodukowanej energię, a do sieci trafiają dopiero nadwyżki w sytuacji przepełnienia magazynu. W praktyce zmiana ta może być nieodczuwalna, dzięki optymalnemu wykorzystaniu energii zmagazynowanej.</w:t>
      </w:r>
    </w:p>
    <w:p w14:paraId="36434732" w14:textId="792014E4" w:rsidR="00CC4FC7" w:rsidRPr="00D75495" w:rsidRDefault="00CC4FC7" w:rsidP="00920216">
      <w:pPr>
        <w:shd w:val="clear" w:color="auto" w:fill="FFFFFF"/>
        <w:spacing w:line="276" w:lineRule="auto"/>
        <w:jc w:val="both"/>
        <w:rPr>
          <w:rFonts w:ascii="Cambria" w:eastAsia="Times New Roman" w:hAnsi="Cambria" w:cs="Times New Roman"/>
          <w:color w:val="auto"/>
          <w:sz w:val="22"/>
          <w:szCs w:val="22"/>
        </w:rPr>
      </w:pPr>
    </w:p>
    <w:p w14:paraId="01C86DB0" w14:textId="0D524C79" w:rsidR="00D75495" w:rsidRPr="00D75495" w:rsidRDefault="00D75495" w:rsidP="00920216">
      <w:pPr>
        <w:shd w:val="clear" w:color="auto" w:fill="FFFFFF"/>
        <w:spacing w:line="276" w:lineRule="auto"/>
        <w:jc w:val="both"/>
        <w:rPr>
          <w:rFonts w:ascii="Cambria" w:eastAsia="Times New Roman" w:hAnsi="Cambria" w:cs="Times New Roman"/>
          <w:color w:val="auto"/>
          <w:sz w:val="22"/>
          <w:szCs w:val="22"/>
        </w:rPr>
      </w:pPr>
      <w:r w:rsidRPr="00D75495">
        <w:rPr>
          <w:rFonts w:ascii="Cambria" w:eastAsia="Times New Roman" w:hAnsi="Cambria" w:cs="Times New Roman"/>
          <w:color w:val="auto"/>
          <w:sz w:val="22"/>
          <w:szCs w:val="22"/>
        </w:rPr>
        <w:t>W ramach inwestycji zostanie zamontowany magazyn energii poprzez drugi falownik retrofitowy obsługujący nowo zamontowany magazyn wraz z systemem zarządzania energią, dzięki czemu zgodnie z regulaminem konkursy nie będziemy ingerować w Państwa istniejące instalacje PV.  Instalacja ta zostanie wpięta w rozdzielnię główną budynku.</w:t>
      </w:r>
    </w:p>
    <w:p w14:paraId="025EF72F" w14:textId="0CB09FB6" w:rsidR="0084263D" w:rsidRPr="00D75495" w:rsidRDefault="00CC4FC7" w:rsidP="00920216">
      <w:pPr>
        <w:shd w:val="clear" w:color="auto" w:fill="FFFFFF"/>
        <w:spacing w:line="276" w:lineRule="auto"/>
        <w:jc w:val="both"/>
        <w:rPr>
          <w:rFonts w:ascii="Cambria" w:eastAsia="Times New Roman" w:hAnsi="Cambria" w:cs="Times New Roman"/>
          <w:color w:val="auto"/>
          <w:sz w:val="22"/>
          <w:szCs w:val="22"/>
        </w:rPr>
      </w:pPr>
      <w:r w:rsidRPr="00D75495">
        <w:rPr>
          <w:rFonts w:ascii="Cambria" w:eastAsia="Times New Roman" w:hAnsi="Cambria" w:cs="Times New Roman"/>
          <w:color w:val="auto"/>
          <w:sz w:val="22"/>
          <w:szCs w:val="22"/>
        </w:rPr>
        <w:t>Montując magazyn energii poprzez falownik retrofitowy</w:t>
      </w:r>
      <w:r w:rsidR="00051431" w:rsidRPr="00D75495">
        <w:rPr>
          <w:rFonts w:ascii="Cambria" w:eastAsia="Times New Roman" w:hAnsi="Cambria" w:cs="Times New Roman"/>
          <w:color w:val="auto"/>
          <w:sz w:val="22"/>
          <w:szCs w:val="22"/>
        </w:rPr>
        <w:t xml:space="preserve"> </w:t>
      </w:r>
      <w:r w:rsidRPr="00D75495">
        <w:rPr>
          <w:rFonts w:ascii="Cambria" w:eastAsia="Times New Roman" w:hAnsi="Cambria" w:cs="Times New Roman"/>
          <w:color w:val="auto"/>
          <w:sz w:val="22"/>
          <w:szCs w:val="22"/>
        </w:rPr>
        <w:t xml:space="preserve">na wielu obiektach </w:t>
      </w:r>
      <w:r w:rsidR="00051431" w:rsidRPr="00D75495">
        <w:rPr>
          <w:rFonts w:ascii="Cambria" w:eastAsia="Times New Roman" w:hAnsi="Cambria" w:cs="Times New Roman"/>
          <w:color w:val="auto"/>
          <w:sz w:val="22"/>
          <w:szCs w:val="22"/>
        </w:rPr>
        <w:t xml:space="preserve">konieczne będzie </w:t>
      </w:r>
      <w:r w:rsidR="0084263D" w:rsidRPr="00D75495">
        <w:rPr>
          <w:rFonts w:ascii="Cambria" w:eastAsia="Times New Roman" w:hAnsi="Cambria" w:cs="Times New Roman"/>
          <w:color w:val="auto"/>
          <w:sz w:val="22"/>
          <w:szCs w:val="22"/>
        </w:rPr>
        <w:t>zwiększeni</w:t>
      </w:r>
      <w:r w:rsidR="00051431" w:rsidRPr="00D75495">
        <w:rPr>
          <w:rFonts w:ascii="Cambria" w:eastAsia="Times New Roman" w:hAnsi="Cambria" w:cs="Times New Roman"/>
          <w:color w:val="auto"/>
          <w:sz w:val="22"/>
          <w:szCs w:val="22"/>
        </w:rPr>
        <w:t>e</w:t>
      </w:r>
      <w:r w:rsidR="0084263D" w:rsidRPr="00D75495">
        <w:rPr>
          <w:rFonts w:ascii="Cambria" w:eastAsia="Times New Roman" w:hAnsi="Cambria" w:cs="Times New Roman"/>
          <w:color w:val="auto"/>
          <w:sz w:val="22"/>
          <w:szCs w:val="22"/>
        </w:rPr>
        <w:t xml:space="preserve"> mocy przyłączeniowej</w:t>
      </w:r>
      <w:r w:rsidR="00843FB0" w:rsidRPr="00D75495">
        <w:rPr>
          <w:rFonts w:ascii="Cambria" w:eastAsia="Times New Roman" w:hAnsi="Cambria" w:cs="Times New Roman"/>
          <w:color w:val="auto"/>
          <w:sz w:val="22"/>
          <w:szCs w:val="22"/>
        </w:rPr>
        <w:t xml:space="preserve"> </w:t>
      </w:r>
      <w:r w:rsidR="0084263D" w:rsidRPr="00D75495">
        <w:rPr>
          <w:rFonts w:ascii="Cambria" w:eastAsia="Times New Roman" w:hAnsi="Cambria" w:cs="Times New Roman"/>
          <w:color w:val="auto"/>
          <w:sz w:val="22"/>
          <w:szCs w:val="22"/>
          <w:u w:val="single"/>
        </w:rPr>
        <w:t>do sumy mocy instalacji PV i mocy</w:t>
      </w:r>
      <w:r w:rsidRPr="00D75495">
        <w:rPr>
          <w:rFonts w:ascii="Cambria" w:eastAsia="Times New Roman" w:hAnsi="Cambria" w:cs="Times New Roman"/>
          <w:color w:val="auto"/>
          <w:sz w:val="22"/>
          <w:szCs w:val="22"/>
          <w:u w:val="single"/>
        </w:rPr>
        <w:t xml:space="preserve"> projektowanego</w:t>
      </w:r>
      <w:r w:rsidR="0084263D" w:rsidRPr="00D75495">
        <w:rPr>
          <w:rFonts w:ascii="Cambria" w:eastAsia="Times New Roman" w:hAnsi="Cambria" w:cs="Times New Roman"/>
          <w:color w:val="auto"/>
          <w:sz w:val="22"/>
          <w:szCs w:val="22"/>
          <w:u w:val="single"/>
        </w:rPr>
        <w:t xml:space="preserve"> magazynu</w:t>
      </w:r>
      <w:r w:rsidR="00051431" w:rsidRPr="00D75495">
        <w:rPr>
          <w:rFonts w:ascii="Cambria" w:eastAsia="Times New Roman" w:hAnsi="Cambria" w:cs="Times New Roman"/>
          <w:color w:val="auto"/>
          <w:sz w:val="22"/>
          <w:szCs w:val="22"/>
        </w:rPr>
        <w:t>, t</w:t>
      </w:r>
      <w:r w:rsidR="0084263D" w:rsidRPr="00D75495">
        <w:rPr>
          <w:rFonts w:ascii="Cambria" w:eastAsia="Times New Roman" w:hAnsi="Cambria" w:cs="Times New Roman"/>
          <w:color w:val="auto"/>
          <w:sz w:val="22"/>
          <w:szCs w:val="22"/>
        </w:rPr>
        <w:t xml:space="preserve">j. moc przyłączeniowa z danego adresu musi być równa bądź wyższa od sumy instalacji PV </w:t>
      </w:r>
      <w:r w:rsidR="00920216">
        <w:rPr>
          <w:rFonts w:ascii="Cambria" w:eastAsia="Times New Roman" w:hAnsi="Cambria" w:cs="Times New Roman"/>
          <w:color w:val="auto"/>
          <w:sz w:val="22"/>
          <w:szCs w:val="22"/>
        </w:rPr>
        <w:br/>
      </w:r>
      <w:r w:rsidR="0084263D" w:rsidRPr="00D75495">
        <w:rPr>
          <w:rFonts w:ascii="Cambria" w:eastAsia="Times New Roman" w:hAnsi="Cambria" w:cs="Times New Roman"/>
          <w:color w:val="auto"/>
          <w:sz w:val="22"/>
          <w:szCs w:val="22"/>
        </w:rPr>
        <w:t>i magazynu energii.</w:t>
      </w:r>
      <w:r w:rsidR="00051431" w:rsidRPr="00D75495">
        <w:rPr>
          <w:rFonts w:ascii="Cambria" w:eastAsia="Times New Roman" w:hAnsi="Cambria" w:cs="Times New Roman"/>
          <w:color w:val="auto"/>
          <w:sz w:val="22"/>
          <w:szCs w:val="22"/>
        </w:rPr>
        <w:t xml:space="preserve"> </w:t>
      </w:r>
      <w:r w:rsidR="0084263D" w:rsidRPr="00D75495">
        <w:rPr>
          <w:rFonts w:ascii="Cambria" w:eastAsia="Times New Roman" w:hAnsi="Cambria" w:cs="Times New Roman"/>
          <w:color w:val="auto"/>
          <w:sz w:val="22"/>
          <w:szCs w:val="22"/>
        </w:rPr>
        <w:t xml:space="preserve">Jest to spowodowane tym, że </w:t>
      </w:r>
      <w:r w:rsidRPr="00D75495">
        <w:rPr>
          <w:rFonts w:ascii="Cambria" w:eastAsia="Times New Roman" w:hAnsi="Cambria" w:cs="Times New Roman"/>
          <w:color w:val="auto"/>
          <w:sz w:val="22"/>
          <w:szCs w:val="22"/>
        </w:rPr>
        <w:t>PGE</w:t>
      </w:r>
      <w:r w:rsidR="0084263D" w:rsidRPr="00D75495">
        <w:rPr>
          <w:rFonts w:ascii="Cambria" w:eastAsia="Times New Roman" w:hAnsi="Cambria" w:cs="Times New Roman"/>
          <w:color w:val="auto"/>
          <w:sz w:val="22"/>
          <w:szCs w:val="22"/>
        </w:rPr>
        <w:t xml:space="preserve"> traktuje inwerter retrofitowy (czyli falownik który będzie montowany razem z magazynem) jak kolejny inwerter w instalacji. Powoduje to sytuację</w:t>
      </w:r>
      <w:r w:rsidRPr="00D75495">
        <w:rPr>
          <w:rFonts w:ascii="Cambria" w:eastAsia="Times New Roman" w:hAnsi="Cambria" w:cs="Times New Roman"/>
          <w:color w:val="auto"/>
          <w:sz w:val="22"/>
          <w:szCs w:val="22"/>
        </w:rPr>
        <w:t>,</w:t>
      </w:r>
      <w:r w:rsidR="0084263D" w:rsidRPr="00D75495">
        <w:rPr>
          <w:rFonts w:ascii="Cambria" w:eastAsia="Times New Roman" w:hAnsi="Cambria" w:cs="Times New Roman"/>
          <w:color w:val="auto"/>
          <w:sz w:val="22"/>
          <w:szCs w:val="22"/>
        </w:rPr>
        <w:t xml:space="preserve"> że suma dwóch inwerterów będzie większa od sumy instalacji PV</w:t>
      </w:r>
      <w:r w:rsidR="00843FB0" w:rsidRPr="00D75495">
        <w:rPr>
          <w:rFonts w:ascii="Cambria" w:eastAsia="Times New Roman" w:hAnsi="Cambria" w:cs="Times New Roman"/>
          <w:color w:val="auto"/>
          <w:sz w:val="22"/>
          <w:szCs w:val="22"/>
        </w:rPr>
        <w:t>,</w:t>
      </w:r>
      <w:r w:rsidR="0084263D" w:rsidRPr="00D75495">
        <w:rPr>
          <w:rFonts w:ascii="Cambria" w:eastAsia="Times New Roman" w:hAnsi="Cambria" w:cs="Times New Roman"/>
          <w:color w:val="auto"/>
          <w:sz w:val="22"/>
          <w:szCs w:val="22"/>
        </w:rPr>
        <w:t xml:space="preserve"> więc dla </w:t>
      </w:r>
      <w:r w:rsidRPr="00D75495">
        <w:rPr>
          <w:rFonts w:ascii="Cambria" w:eastAsia="Times New Roman" w:hAnsi="Cambria" w:cs="Times New Roman"/>
          <w:color w:val="auto"/>
          <w:sz w:val="22"/>
          <w:szCs w:val="22"/>
        </w:rPr>
        <w:t>PGE</w:t>
      </w:r>
      <w:r w:rsidR="0084263D" w:rsidRPr="00D75495">
        <w:rPr>
          <w:rFonts w:ascii="Cambria" w:eastAsia="Times New Roman" w:hAnsi="Cambria" w:cs="Times New Roman"/>
          <w:color w:val="auto"/>
          <w:sz w:val="22"/>
          <w:szCs w:val="22"/>
        </w:rPr>
        <w:t xml:space="preserve"> jedna z dwóch zasad przy montażu magazynu energii zostaje nie spełniona</w:t>
      </w:r>
      <w:r w:rsidR="00843FB0" w:rsidRPr="00D75495">
        <w:rPr>
          <w:rFonts w:ascii="Cambria" w:eastAsia="Times New Roman" w:hAnsi="Cambria" w:cs="Times New Roman"/>
          <w:color w:val="auto"/>
          <w:sz w:val="22"/>
          <w:szCs w:val="22"/>
        </w:rPr>
        <w:t>, co</w:t>
      </w:r>
      <w:r w:rsidR="0084263D" w:rsidRPr="00D75495">
        <w:rPr>
          <w:rFonts w:ascii="Cambria" w:eastAsia="Times New Roman" w:hAnsi="Cambria" w:cs="Times New Roman"/>
          <w:color w:val="auto"/>
          <w:sz w:val="22"/>
          <w:szCs w:val="22"/>
        </w:rPr>
        <w:t xml:space="preserve"> powoduje konieczność zwiększenia mocy przyłączeniowej.</w:t>
      </w:r>
    </w:p>
    <w:p w14:paraId="630BCAAB" w14:textId="77777777" w:rsidR="00C91E65" w:rsidRPr="00D75495" w:rsidRDefault="00C91E65" w:rsidP="00920216">
      <w:pPr>
        <w:shd w:val="clear" w:color="auto" w:fill="FFFFFF"/>
        <w:spacing w:line="276" w:lineRule="auto"/>
        <w:jc w:val="both"/>
        <w:rPr>
          <w:rFonts w:ascii="Cambria" w:eastAsia="Times New Roman" w:hAnsi="Cambria" w:cs="Times New Roman"/>
          <w:color w:val="auto"/>
          <w:sz w:val="22"/>
          <w:szCs w:val="22"/>
        </w:rPr>
      </w:pPr>
    </w:p>
    <w:p w14:paraId="7B87F0B8" w14:textId="011A93A1" w:rsidR="00051431" w:rsidRPr="00F65CE0" w:rsidRDefault="00051431" w:rsidP="00920216">
      <w:pPr>
        <w:shd w:val="clear" w:color="auto" w:fill="FFFFFF"/>
        <w:spacing w:line="276" w:lineRule="auto"/>
        <w:jc w:val="both"/>
        <w:rPr>
          <w:rFonts w:ascii="Cambria" w:eastAsia="Times New Roman" w:hAnsi="Cambria" w:cs="Times New Roman"/>
          <w:color w:val="auto"/>
          <w:sz w:val="22"/>
          <w:szCs w:val="22"/>
          <w:u w:val="single"/>
        </w:rPr>
      </w:pPr>
      <w:r w:rsidRPr="00F65CE0">
        <w:rPr>
          <w:rFonts w:ascii="Cambria" w:eastAsia="Times New Roman" w:hAnsi="Cambria" w:cs="Times New Roman"/>
          <w:color w:val="auto"/>
          <w:sz w:val="22"/>
          <w:szCs w:val="22"/>
          <w:u w:val="single"/>
        </w:rPr>
        <w:t xml:space="preserve">Zgodnie z wytycznymi </w:t>
      </w:r>
      <w:r w:rsidR="00CC4FC7" w:rsidRPr="00F65CE0">
        <w:rPr>
          <w:rFonts w:ascii="Cambria" w:eastAsia="Times New Roman" w:hAnsi="Cambria" w:cs="Times New Roman"/>
          <w:color w:val="auto"/>
          <w:sz w:val="22"/>
          <w:szCs w:val="22"/>
          <w:u w:val="single"/>
        </w:rPr>
        <w:t>PGE</w:t>
      </w:r>
      <w:r w:rsidRPr="00F65CE0">
        <w:rPr>
          <w:rFonts w:ascii="Cambria" w:eastAsia="Times New Roman" w:hAnsi="Cambria" w:cs="Times New Roman"/>
          <w:color w:val="auto"/>
          <w:sz w:val="22"/>
          <w:szCs w:val="22"/>
          <w:u w:val="single"/>
        </w:rPr>
        <w:t xml:space="preserve"> - nie trzeba zwiększać mocy przyłączeniowej jeśli:</w:t>
      </w:r>
    </w:p>
    <w:p w14:paraId="292AC260" w14:textId="69BF31B7" w:rsidR="00051431" w:rsidRPr="00D75495" w:rsidRDefault="00051431" w:rsidP="00920216">
      <w:pPr>
        <w:shd w:val="clear" w:color="auto" w:fill="FFFFFF"/>
        <w:spacing w:line="276" w:lineRule="auto"/>
        <w:jc w:val="both"/>
        <w:rPr>
          <w:rFonts w:ascii="Cambria" w:eastAsia="Times New Roman" w:hAnsi="Cambria" w:cs="Times New Roman"/>
          <w:color w:val="auto"/>
          <w:sz w:val="22"/>
          <w:szCs w:val="22"/>
        </w:rPr>
      </w:pPr>
      <w:r w:rsidRPr="00D75495">
        <w:rPr>
          <w:rFonts w:ascii="Cambria" w:eastAsia="Times New Roman" w:hAnsi="Cambria" w:cs="Times New Roman"/>
          <w:color w:val="auto"/>
          <w:sz w:val="22"/>
          <w:szCs w:val="22"/>
        </w:rPr>
        <w:t>-</w:t>
      </w:r>
      <w:r w:rsidR="00843FB0" w:rsidRPr="00D75495">
        <w:rPr>
          <w:rFonts w:ascii="Cambria" w:eastAsia="Times New Roman" w:hAnsi="Cambria" w:cs="Times New Roman"/>
          <w:color w:val="auto"/>
          <w:sz w:val="22"/>
          <w:szCs w:val="22"/>
        </w:rPr>
        <w:t> </w:t>
      </w:r>
      <w:r w:rsidRPr="00D75495">
        <w:rPr>
          <w:rFonts w:ascii="Cambria" w:eastAsia="Times New Roman" w:hAnsi="Cambria" w:cs="Times New Roman"/>
          <w:color w:val="auto"/>
          <w:sz w:val="22"/>
          <w:szCs w:val="22"/>
        </w:rPr>
        <w:t>moc inwertera (bądź sumy dwóch inwerterów) jest mniejsza niż moc instalacji PV</w:t>
      </w:r>
      <w:r w:rsidR="00D20997" w:rsidRPr="00D75495">
        <w:rPr>
          <w:rFonts w:ascii="Cambria" w:eastAsia="Times New Roman" w:hAnsi="Cambria" w:cs="Times New Roman"/>
          <w:color w:val="auto"/>
          <w:sz w:val="22"/>
          <w:szCs w:val="22"/>
        </w:rPr>
        <w:t>;</w:t>
      </w:r>
    </w:p>
    <w:p w14:paraId="686F9658" w14:textId="66E33675" w:rsidR="00051431" w:rsidRPr="00D75495" w:rsidRDefault="00051431" w:rsidP="00920216">
      <w:pPr>
        <w:shd w:val="clear" w:color="auto" w:fill="FFFFFF"/>
        <w:spacing w:line="276" w:lineRule="auto"/>
        <w:jc w:val="both"/>
        <w:rPr>
          <w:rFonts w:ascii="Cambria" w:eastAsia="Times New Roman" w:hAnsi="Cambria" w:cs="Times New Roman"/>
          <w:color w:val="auto"/>
          <w:sz w:val="22"/>
          <w:szCs w:val="22"/>
        </w:rPr>
      </w:pPr>
      <w:r w:rsidRPr="00D75495">
        <w:rPr>
          <w:rFonts w:ascii="Cambria" w:eastAsia="Times New Roman" w:hAnsi="Cambria" w:cs="Times New Roman"/>
          <w:color w:val="auto"/>
          <w:sz w:val="22"/>
          <w:szCs w:val="22"/>
        </w:rPr>
        <w:t>-</w:t>
      </w:r>
      <w:r w:rsidR="00843FB0" w:rsidRPr="00D75495">
        <w:rPr>
          <w:rFonts w:ascii="Cambria" w:eastAsia="Times New Roman" w:hAnsi="Cambria" w:cs="Times New Roman"/>
          <w:color w:val="auto"/>
          <w:sz w:val="22"/>
          <w:szCs w:val="22"/>
        </w:rPr>
        <w:t> </w:t>
      </w:r>
      <w:r w:rsidRPr="00D75495">
        <w:rPr>
          <w:rFonts w:ascii="Cambria" w:eastAsia="Times New Roman" w:hAnsi="Cambria" w:cs="Times New Roman"/>
          <w:color w:val="auto"/>
          <w:sz w:val="22"/>
          <w:szCs w:val="22"/>
        </w:rPr>
        <w:t>montujemy magazyn energii o mniejszej mocy niż moc instalacji PV</w:t>
      </w:r>
      <w:r w:rsidR="00D20997" w:rsidRPr="00D75495">
        <w:rPr>
          <w:rFonts w:ascii="Cambria" w:eastAsia="Times New Roman" w:hAnsi="Cambria" w:cs="Times New Roman"/>
          <w:color w:val="auto"/>
          <w:sz w:val="22"/>
          <w:szCs w:val="22"/>
        </w:rPr>
        <w:t>;</w:t>
      </w:r>
    </w:p>
    <w:p w14:paraId="1E266CCB" w14:textId="25397516" w:rsidR="00051431" w:rsidRPr="00D75495" w:rsidRDefault="00051431" w:rsidP="00920216">
      <w:pPr>
        <w:shd w:val="clear" w:color="auto" w:fill="FFFFFF"/>
        <w:spacing w:line="276" w:lineRule="auto"/>
        <w:jc w:val="both"/>
        <w:rPr>
          <w:rFonts w:ascii="Cambria" w:eastAsia="Times New Roman" w:hAnsi="Cambria" w:cs="Times New Roman"/>
          <w:color w:val="auto"/>
          <w:sz w:val="22"/>
          <w:szCs w:val="22"/>
        </w:rPr>
      </w:pPr>
      <w:r w:rsidRPr="00D75495">
        <w:rPr>
          <w:rFonts w:ascii="Cambria" w:eastAsia="Times New Roman" w:hAnsi="Cambria" w:cs="Times New Roman"/>
          <w:color w:val="auto"/>
          <w:sz w:val="22"/>
          <w:szCs w:val="22"/>
        </w:rPr>
        <w:t xml:space="preserve">Jeśli jeden z tych warunków nie zostanie spełniony (a w naszych przypadkach montażowych prawie zawsze nie zostanie spełniony pierwszy warunek) dochodzi do sumowania mocy instalacji PV oraz mocy magazynu, a moc przyłączeniowa musi być równa bądź wyższa od tej sumy. </w:t>
      </w:r>
    </w:p>
    <w:p w14:paraId="77B09E13" w14:textId="77777777" w:rsidR="00D75495" w:rsidRPr="00D75495" w:rsidRDefault="00D75495" w:rsidP="00920216">
      <w:pPr>
        <w:shd w:val="clear" w:color="auto" w:fill="FFFFFF"/>
        <w:spacing w:line="276" w:lineRule="auto"/>
        <w:jc w:val="both"/>
        <w:rPr>
          <w:rFonts w:ascii="Cambria" w:eastAsia="Times New Roman" w:hAnsi="Cambria" w:cs="Times New Roman"/>
          <w:color w:val="auto"/>
          <w:sz w:val="22"/>
          <w:szCs w:val="22"/>
        </w:rPr>
      </w:pPr>
    </w:p>
    <w:p w14:paraId="3566F635" w14:textId="6EEBCBCD" w:rsidR="00CC4FC7" w:rsidRPr="00D75495" w:rsidRDefault="00AB7081" w:rsidP="00920216">
      <w:pPr>
        <w:shd w:val="clear" w:color="auto" w:fill="FFFFFF"/>
        <w:spacing w:after="240" w:line="276" w:lineRule="auto"/>
        <w:jc w:val="both"/>
        <w:rPr>
          <w:rFonts w:ascii="Cambria" w:eastAsia="Times New Roman" w:hAnsi="Cambria" w:cs="Times New Roman"/>
          <w:color w:val="auto"/>
          <w:sz w:val="22"/>
          <w:szCs w:val="22"/>
        </w:rPr>
      </w:pPr>
      <w:r w:rsidRPr="00D75495">
        <w:rPr>
          <w:rFonts w:ascii="Cambria" w:eastAsia="Times New Roman" w:hAnsi="Cambria" w:cs="Times New Roman"/>
          <w:b/>
          <w:bCs/>
          <w:color w:val="auto"/>
          <w:sz w:val="22"/>
          <w:szCs w:val="22"/>
        </w:rPr>
        <w:t>Jednocześnie zaznaczamy</w:t>
      </w:r>
      <w:r w:rsidRPr="00D75495">
        <w:rPr>
          <w:rFonts w:ascii="Cambria" w:eastAsia="Times New Roman" w:hAnsi="Cambria" w:cs="Times New Roman"/>
          <w:color w:val="auto"/>
          <w:sz w:val="22"/>
          <w:szCs w:val="22"/>
        </w:rPr>
        <w:t xml:space="preserve">, że wszelkie przekazywane dziś informacje związane z zasadami </w:t>
      </w:r>
      <w:r w:rsidR="00920216">
        <w:rPr>
          <w:rFonts w:ascii="Cambria" w:eastAsia="Times New Roman" w:hAnsi="Cambria" w:cs="Times New Roman"/>
          <w:color w:val="auto"/>
          <w:sz w:val="22"/>
          <w:szCs w:val="22"/>
        </w:rPr>
        <w:br/>
      </w:r>
      <w:r w:rsidRPr="00D75495">
        <w:rPr>
          <w:rFonts w:ascii="Cambria" w:eastAsia="Times New Roman" w:hAnsi="Cambria" w:cs="Times New Roman"/>
          <w:color w:val="auto"/>
          <w:sz w:val="22"/>
          <w:szCs w:val="22"/>
        </w:rPr>
        <w:t xml:space="preserve">i wytycznymi zakładu energetycznego są aktualne na dzień dzisiejszy i nie odpowiadamy za ewentualne zmiany lub fakt wprowadzenia nowych wytycznych przez PGE. </w:t>
      </w:r>
    </w:p>
    <w:p w14:paraId="43037FA7" w14:textId="59D83301" w:rsidR="00AB7081" w:rsidRPr="00D75495" w:rsidRDefault="00AB7081" w:rsidP="00920216">
      <w:pPr>
        <w:shd w:val="clear" w:color="auto" w:fill="FFFFFF"/>
        <w:spacing w:after="240" w:line="276" w:lineRule="auto"/>
        <w:jc w:val="both"/>
        <w:rPr>
          <w:rFonts w:ascii="Cambria" w:eastAsia="Times New Roman" w:hAnsi="Cambria" w:cs="Times New Roman"/>
          <w:b/>
          <w:bCs/>
          <w:color w:val="auto"/>
          <w:sz w:val="22"/>
          <w:szCs w:val="22"/>
        </w:rPr>
      </w:pPr>
      <w:r w:rsidRPr="00D75495">
        <w:rPr>
          <w:rFonts w:ascii="Cambria" w:eastAsia="Times New Roman" w:hAnsi="Cambria" w:cs="Times New Roman"/>
          <w:color w:val="auto"/>
          <w:sz w:val="22"/>
          <w:szCs w:val="22"/>
        </w:rPr>
        <w:t xml:space="preserve">I na koniec gorąca prośba – </w:t>
      </w:r>
      <w:r w:rsidRPr="00D75495">
        <w:rPr>
          <w:rFonts w:ascii="Cambria" w:eastAsia="Times New Roman" w:hAnsi="Cambria" w:cs="Times New Roman"/>
          <w:b/>
          <w:bCs/>
          <w:color w:val="auto"/>
          <w:sz w:val="22"/>
          <w:szCs w:val="22"/>
        </w:rPr>
        <w:t>sprawna realizacja tego projektu zależy od wielu osób, instytucji, czynników – również od Państwa jako Odbiorców Końcowych</w:t>
      </w:r>
      <w:r w:rsidRPr="00D75495">
        <w:rPr>
          <w:rFonts w:ascii="Cambria" w:eastAsia="Times New Roman" w:hAnsi="Cambria" w:cs="Times New Roman"/>
          <w:color w:val="auto"/>
          <w:sz w:val="22"/>
          <w:szCs w:val="22"/>
        </w:rPr>
        <w:t>. Jeżeli ktoś z</w:t>
      </w:r>
      <w:r w:rsidR="00D20997" w:rsidRPr="00D75495">
        <w:rPr>
          <w:rFonts w:ascii="Cambria" w:eastAsia="Times New Roman" w:hAnsi="Cambria" w:cs="Times New Roman"/>
          <w:color w:val="auto"/>
          <w:sz w:val="22"/>
          <w:szCs w:val="22"/>
        </w:rPr>
        <w:t> </w:t>
      </w:r>
      <w:r w:rsidRPr="00D75495">
        <w:rPr>
          <w:rFonts w:ascii="Cambria" w:eastAsia="Times New Roman" w:hAnsi="Cambria" w:cs="Times New Roman"/>
          <w:color w:val="auto"/>
          <w:sz w:val="22"/>
          <w:szCs w:val="22"/>
        </w:rPr>
        <w:t xml:space="preserve">Państwa już wie, że </w:t>
      </w:r>
      <w:r w:rsidR="003C77CF" w:rsidRPr="00D75495">
        <w:rPr>
          <w:rFonts w:ascii="Cambria" w:eastAsia="Times New Roman" w:hAnsi="Cambria" w:cs="Times New Roman"/>
          <w:color w:val="auto"/>
          <w:sz w:val="22"/>
          <w:szCs w:val="22"/>
        </w:rPr>
        <w:t xml:space="preserve">konieczne będzie zwiększenie mocy </w:t>
      </w:r>
      <w:r w:rsidR="004A289B" w:rsidRPr="00D75495">
        <w:rPr>
          <w:rFonts w:ascii="Cambria" w:eastAsia="Times New Roman" w:hAnsi="Cambria" w:cs="Times New Roman"/>
          <w:color w:val="auto"/>
          <w:sz w:val="22"/>
          <w:szCs w:val="22"/>
        </w:rPr>
        <w:t>przyłączeniowej</w:t>
      </w:r>
      <w:r w:rsidR="003C77CF" w:rsidRPr="00D75495">
        <w:rPr>
          <w:rFonts w:ascii="Cambria" w:eastAsia="Times New Roman" w:hAnsi="Cambria" w:cs="Times New Roman"/>
          <w:color w:val="auto"/>
          <w:sz w:val="22"/>
          <w:szCs w:val="22"/>
        </w:rPr>
        <w:t xml:space="preserve"> zachęcamy do </w:t>
      </w:r>
      <w:r w:rsidR="006622E3" w:rsidRPr="00D75495">
        <w:rPr>
          <w:rFonts w:ascii="Cambria" w:eastAsia="Times New Roman" w:hAnsi="Cambria" w:cs="Times New Roman"/>
          <w:color w:val="auto"/>
          <w:sz w:val="22"/>
          <w:szCs w:val="22"/>
        </w:rPr>
        <w:t xml:space="preserve">niezwłocznego </w:t>
      </w:r>
      <w:r w:rsidR="003C77CF" w:rsidRPr="00D75495">
        <w:rPr>
          <w:rFonts w:ascii="Cambria" w:eastAsia="Times New Roman" w:hAnsi="Cambria" w:cs="Times New Roman"/>
          <w:color w:val="auto"/>
          <w:sz w:val="22"/>
          <w:szCs w:val="22"/>
        </w:rPr>
        <w:t xml:space="preserve">załatwienia sprawy w Zakładzie Energetycznym. Jeśli </w:t>
      </w:r>
      <w:r w:rsidRPr="00D75495">
        <w:rPr>
          <w:rFonts w:ascii="Cambria" w:eastAsia="Times New Roman" w:hAnsi="Cambria" w:cs="Times New Roman"/>
          <w:color w:val="auto"/>
          <w:sz w:val="22"/>
          <w:szCs w:val="22"/>
        </w:rPr>
        <w:t xml:space="preserve">wewnętrzna instalacja elektryczna </w:t>
      </w:r>
      <w:r w:rsidR="00D20997" w:rsidRPr="00D75495">
        <w:rPr>
          <w:rFonts w:ascii="Cambria" w:eastAsia="Times New Roman" w:hAnsi="Cambria" w:cs="Times New Roman"/>
          <w:color w:val="auto"/>
          <w:sz w:val="22"/>
          <w:szCs w:val="22"/>
        </w:rPr>
        <w:t xml:space="preserve">w budynku </w:t>
      </w:r>
      <w:r w:rsidRPr="00D75495">
        <w:rPr>
          <w:rFonts w:ascii="Cambria" w:eastAsia="Times New Roman" w:hAnsi="Cambria" w:cs="Times New Roman"/>
          <w:color w:val="auto"/>
          <w:sz w:val="22"/>
          <w:szCs w:val="22"/>
        </w:rPr>
        <w:t xml:space="preserve">może sprawiać problemy przy montażu magazynu energii, np. jest już stara i mocno wyeksploatowana, nie ma </w:t>
      </w:r>
      <w:r w:rsidR="003C77CF" w:rsidRPr="00D75495">
        <w:rPr>
          <w:rFonts w:ascii="Cambria" w:eastAsia="Times New Roman" w:hAnsi="Cambria" w:cs="Times New Roman"/>
          <w:color w:val="auto"/>
          <w:sz w:val="22"/>
          <w:szCs w:val="22"/>
        </w:rPr>
        <w:t>odpowiednich</w:t>
      </w:r>
      <w:r w:rsidRPr="00D75495">
        <w:rPr>
          <w:rFonts w:ascii="Cambria" w:eastAsia="Times New Roman" w:hAnsi="Cambria" w:cs="Times New Roman"/>
          <w:color w:val="auto"/>
          <w:sz w:val="22"/>
          <w:szCs w:val="22"/>
        </w:rPr>
        <w:t xml:space="preserve"> zabezpieczeń oraz jeśli ktoś otrzymał </w:t>
      </w:r>
      <w:r w:rsidR="003C77CF" w:rsidRPr="00D75495">
        <w:rPr>
          <w:rFonts w:ascii="Cambria" w:eastAsia="Times New Roman" w:hAnsi="Cambria" w:cs="Times New Roman"/>
          <w:color w:val="auto"/>
          <w:sz w:val="22"/>
          <w:szCs w:val="22"/>
        </w:rPr>
        <w:t>inne</w:t>
      </w:r>
      <w:r w:rsidRPr="00D75495">
        <w:rPr>
          <w:rFonts w:ascii="Cambria" w:eastAsia="Times New Roman" w:hAnsi="Cambria" w:cs="Times New Roman"/>
          <w:color w:val="auto"/>
          <w:sz w:val="22"/>
          <w:szCs w:val="22"/>
        </w:rPr>
        <w:t xml:space="preserve"> </w:t>
      </w:r>
      <w:r w:rsidR="003C77CF" w:rsidRPr="00D75495">
        <w:rPr>
          <w:rFonts w:ascii="Cambria" w:eastAsia="Times New Roman" w:hAnsi="Cambria" w:cs="Times New Roman"/>
          <w:color w:val="auto"/>
          <w:sz w:val="22"/>
          <w:szCs w:val="22"/>
        </w:rPr>
        <w:t>zalecenia</w:t>
      </w:r>
      <w:r w:rsidRPr="00D75495">
        <w:rPr>
          <w:rFonts w:ascii="Cambria" w:eastAsia="Times New Roman" w:hAnsi="Cambria" w:cs="Times New Roman"/>
          <w:color w:val="auto"/>
          <w:sz w:val="22"/>
          <w:szCs w:val="22"/>
        </w:rPr>
        <w:t xml:space="preserve"> podczas wizji lub dostał jakieś wytyczne </w:t>
      </w:r>
      <w:r w:rsidR="00D20997" w:rsidRPr="00D75495">
        <w:rPr>
          <w:rFonts w:ascii="Cambria" w:eastAsia="Times New Roman" w:hAnsi="Cambria" w:cs="Times New Roman"/>
          <w:color w:val="auto"/>
          <w:sz w:val="22"/>
          <w:szCs w:val="22"/>
        </w:rPr>
        <w:t xml:space="preserve">– </w:t>
      </w:r>
      <w:r w:rsidR="00D20997" w:rsidRPr="00D75495">
        <w:rPr>
          <w:rFonts w:ascii="Cambria" w:eastAsia="Times New Roman" w:hAnsi="Cambria" w:cs="Times New Roman"/>
          <w:b/>
          <w:bCs/>
          <w:color w:val="auto"/>
          <w:sz w:val="22"/>
          <w:szCs w:val="22"/>
        </w:rPr>
        <w:t xml:space="preserve">należy jak najszybciej </w:t>
      </w:r>
      <w:r w:rsidRPr="00D75495">
        <w:rPr>
          <w:rFonts w:ascii="Cambria" w:eastAsia="Times New Roman" w:hAnsi="Cambria" w:cs="Times New Roman"/>
          <w:b/>
          <w:bCs/>
          <w:color w:val="auto"/>
          <w:sz w:val="22"/>
          <w:szCs w:val="22"/>
        </w:rPr>
        <w:t>zacząć działać</w:t>
      </w:r>
      <w:r w:rsidR="00D20997" w:rsidRPr="00D75495">
        <w:rPr>
          <w:rFonts w:ascii="Cambria" w:eastAsia="Times New Roman" w:hAnsi="Cambria" w:cs="Times New Roman"/>
          <w:b/>
          <w:bCs/>
          <w:color w:val="auto"/>
          <w:sz w:val="22"/>
          <w:szCs w:val="22"/>
        </w:rPr>
        <w:t xml:space="preserve">, by doprowadzić instalację elektryczną </w:t>
      </w:r>
      <w:r w:rsidR="003C77CF" w:rsidRPr="00D75495">
        <w:rPr>
          <w:rFonts w:ascii="Cambria" w:eastAsia="Times New Roman" w:hAnsi="Cambria" w:cs="Times New Roman"/>
          <w:b/>
          <w:bCs/>
          <w:color w:val="auto"/>
          <w:sz w:val="22"/>
          <w:szCs w:val="22"/>
        </w:rPr>
        <w:t>oraz miejsce na planowany montaż magazynu</w:t>
      </w:r>
      <w:r w:rsidR="00C91E65" w:rsidRPr="00D75495">
        <w:rPr>
          <w:rFonts w:ascii="Cambria" w:eastAsia="Times New Roman" w:hAnsi="Cambria" w:cs="Times New Roman"/>
          <w:b/>
          <w:bCs/>
          <w:color w:val="auto"/>
          <w:sz w:val="22"/>
          <w:szCs w:val="22"/>
        </w:rPr>
        <w:t xml:space="preserve"> </w:t>
      </w:r>
      <w:r w:rsidR="00D20997" w:rsidRPr="00D75495">
        <w:rPr>
          <w:rFonts w:ascii="Cambria" w:eastAsia="Times New Roman" w:hAnsi="Cambria" w:cs="Times New Roman"/>
          <w:b/>
          <w:bCs/>
          <w:color w:val="auto"/>
          <w:sz w:val="22"/>
          <w:szCs w:val="22"/>
        </w:rPr>
        <w:t xml:space="preserve">do stanu, w którym montaż będzie bezpieczny i przyniesie oczekiwane efekty. </w:t>
      </w:r>
    </w:p>
    <w:p w14:paraId="0E040A10" w14:textId="54F17BFA" w:rsidR="007F4DF3" w:rsidRPr="00D75495" w:rsidRDefault="007F4DF3" w:rsidP="00F65CE0">
      <w:pPr>
        <w:shd w:val="clear" w:color="auto" w:fill="FFFFFF"/>
        <w:spacing w:after="240"/>
        <w:jc w:val="both"/>
        <w:rPr>
          <w:rFonts w:ascii="Cambria" w:eastAsia="Times New Roman" w:hAnsi="Cambria" w:cs="Times New Roman"/>
          <w:color w:val="auto"/>
          <w:sz w:val="22"/>
          <w:szCs w:val="22"/>
        </w:rPr>
      </w:pPr>
      <w:r w:rsidRPr="00D75495">
        <w:rPr>
          <w:rFonts w:ascii="Cambria" w:eastAsia="Times New Roman" w:hAnsi="Cambria" w:cs="Times New Roman"/>
          <w:color w:val="auto"/>
          <w:sz w:val="22"/>
          <w:szCs w:val="22"/>
        </w:rPr>
        <w:t xml:space="preserve">Liczymy na </w:t>
      </w:r>
      <w:r w:rsidR="00051431" w:rsidRPr="00D75495">
        <w:rPr>
          <w:rFonts w:ascii="Cambria" w:eastAsia="Times New Roman" w:hAnsi="Cambria" w:cs="Times New Roman"/>
          <w:color w:val="auto"/>
          <w:sz w:val="22"/>
          <w:szCs w:val="22"/>
        </w:rPr>
        <w:t xml:space="preserve">dalszą </w:t>
      </w:r>
      <w:r w:rsidRPr="00D75495">
        <w:rPr>
          <w:rFonts w:ascii="Cambria" w:eastAsia="Times New Roman" w:hAnsi="Cambria" w:cs="Times New Roman"/>
          <w:color w:val="auto"/>
          <w:sz w:val="22"/>
          <w:szCs w:val="22"/>
        </w:rPr>
        <w:t xml:space="preserve">dobrą współpracę z Państwem na każdym kolejnym etapie realizacji </w:t>
      </w:r>
      <w:r w:rsidR="00051431" w:rsidRPr="00D75495">
        <w:rPr>
          <w:rFonts w:ascii="Cambria" w:eastAsia="Times New Roman" w:hAnsi="Cambria" w:cs="Times New Roman"/>
          <w:color w:val="auto"/>
          <w:sz w:val="22"/>
          <w:szCs w:val="22"/>
        </w:rPr>
        <w:t xml:space="preserve">naszego </w:t>
      </w:r>
      <w:r w:rsidRPr="00D75495">
        <w:rPr>
          <w:rFonts w:ascii="Cambria" w:eastAsia="Times New Roman" w:hAnsi="Cambria" w:cs="Times New Roman"/>
          <w:color w:val="auto"/>
          <w:sz w:val="22"/>
          <w:szCs w:val="22"/>
        </w:rPr>
        <w:t>projektu.</w:t>
      </w:r>
    </w:p>
    <w:p w14:paraId="0B6AA847" w14:textId="77777777" w:rsidR="00E1252F" w:rsidRPr="00CE4F12" w:rsidRDefault="00E1252F" w:rsidP="00CE4F12">
      <w:pPr>
        <w:shd w:val="clear" w:color="auto" w:fill="FFFFFF"/>
        <w:spacing w:after="240"/>
        <w:ind w:left="5103"/>
        <w:jc w:val="center"/>
        <w:rPr>
          <w:rFonts w:ascii="Cambria" w:eastAsia="Times New Roman" w:hAnsi="Cambria" w:cs="Times New Roman"/>
          <w:i/>
          <w:iCs/>
          <w:color w:val="auto"/>
          <w:sz w:val="22"/>
          <w:szCs w:val="22"/>
        </w:rPr>
      </w:pPr>
    </w:p>
    <w:p w14:paraId="4A18E218" w14:textId="02DF9359" w:rsidR="00CE4F12" w:rsidRPr="00CE4F12" w:rsidRDefault="00CE4F12" w:rsidP="00CE4F12">
      <w:pPr>
        <w:shd w:val="clear" w:color="auto" w:fill="FFFFFF"/>
        <w:spacing w:after="240"/>
        <w:ind w:left="5103"/>
        <w:jc w:val="center"/>
        <w:rPr>
          <w:rFonts w:ascii="Cambria" w:eastAsia="Times New Roman" w:hAnsi="Cambria" w:cs="Times New Roman"/>
          <w:i/>
          <w:iCs/>
          <w:color w:val="auto"/>
          <w:sz w:val="22"/>
          <w:szCs w:val="22"/>
        </w:rPr>
      </w:pPr>
      <w:r w:rsidRPr="00CE4F12">
        <w:rPr>
          <w:rFonts w:ascii="Cambria" w:eastAsia="Times New Roman" w:hAnsi="Cambria" w:cs="Times New Roman"/>
          <w:i/>
          <w:iCs/>
          <w:color w:val="auto"/>
          <w:sz w:val="22"/>
          <w:szCs w:val="22"/>
        </w:rPr>
        <w:t>Przewodniczący Zarządu</w:t>
      </w:r>
    </w:p>
    <w:p w14:paraId="51B464E4" w14:textId="108F5706" w:rsidR="00CE4F12" w:rsidRDefault="00CE4F12" w:rsidP="00CE4F12">
      <w:pPr>
        <w:shd w:val="clear" w:color="auto" w:fill="FFFFFF"/>
        <w:spacing w:after="240"/>
        <w:ind w:left="5103"/>
        <w:jc w:val="center"/>
        <w:rPr>
          <w:rFonts w:ascii="Cambria" w:eastAsia="Times New Roman" w:hAnsi="Cambria" w:cs="Times New Roman"/>
          <w:i/>
          <w:iCs/>
          <w:color w:val="auto"/>
          <w:sz w:val="22"/>
          <w:szCs w:val="22"/>
        </w:rPr>
      </w:pPr>
      <w:r w:rsidRPr="00CE4F12">
        <w:rPr>
          <w:rFonts w:ascii="Cambria" w:eastAsia="Times New Roman" w:hAnsi="Cambria" w:cs="Times New Roman"/>
          <w:i/>
          <w:iCs/>
          <w:color w:val="auto"/>
          <w:sz w:val="22"/>
          <w:szCs w:val="22"/>
        </w:rPr>
        <w:t>Związku Gmin Gór Świętokrzyskich</w:t>
      </w:r>
    </w:p>
    <w:p w14:paraId="2E5A0916" w14:textId="5B574BCB" w:rsidR="00CE4F12" w:rsidRPr="00CE4F12" w:rsidRDefault="00CE4F12" w:rsidP="00CE4F12">
      <w:pPr>
        <w:shd w:val="clear" w:color="auto" w:fill="FFFFFF"/>
        <w:spacing w:after="240"/>
        <w:ind w:left="5103"/>
        <w:jc w:val="center"/>
        <w:rPr>
          <w:rFonts w:ascii="Cambria" w:eastAsia="Times New Roman" w:hAnsi="Cambria" w:cs="Times New Roman"/>
          <w:i/>
          <w:iCs/>
          <w:color w:val="auto"/>
          <w:sz w:val="22"/>
          <w:szCs w:val="22"/>
        </w:rPr>
      </w:pPr>
      <w:r>
        <w:rPr>
          <w:rFonts w:ascii="Cambria" w:eastAsia="Times New Roman" w:hAnsi="Cambria" w:cs="Times New Roman"/>
          <w:i/>
          <w:iCs/>
          <w:color w:val="auto"/>
          <w:sz w:val="22"/>
          <w:szCs w:val="22"/>
        </w:rPr>
        <w:t>Sławomir Kopacz</w:t>
      </w:r>
    </w:p>
    <w:sectPr w:rsidR="00CE4F12" w:rsidRPr="00CE4F1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69D84" w14:textId="77777777" w:rsidR="00872CF8" w:rsidRDefault="00872CF8" w:rsidP="007F4DF3">
      <w:r>
        <w:separator/>
      </w:r>
    </w:p>
  </w:endnote>
  <w:endnote w:type="continuationSeparator" w:id="0">
    <w:p w14:paraId="032EB6D5" w14:textId="77777777" w:rsidR="00872CF8" w:rsidRDefault="00872CF8" w:rsidP="007F4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EAB52" w14:textId="77777777" w:rsidR="00872CF8" w:rsidRDefault="00872CF8" w:rsidP="007F4DF3">
      <w:r>
        <w:separator/>
      </w:r>
    </w:p>
  </w:footnote>
  <w:footnote w:type="continuationSeparator" w:id="0">
    <w:p w14:paraId="636A55FD" w14:textId="77777777" w:rsidR="00872CF8" w:rsidRDefault="00872CF8" w:rsidP="007F4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DD008" w14:textId="187ED7F9" w:rsidR="0084263D" w:rsidRDefault="0084263D" w:rsidP="0084263D">
    <w:pPr>
      <w:pStyle w:val="Nagwek"/>
      <w:jc w:val="center"/>
    </w:pPr>
  </w:p>
  <w:p w14:paraId="1F84B466" w14:textId="77777777" w:rsidR="0084263D" w:rsidRDefault="0084263D" w:rsidP="0084263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37990"/>
    <w:multiLevelType w:val="hybridMultilevel"/>
    <w:tmpl w:val="B9A0D3C6"/>
    <w:lvl w:ilvl="0" w:tplc="EA4C15C4">
      <w:start w:val="1"/>
      <w:numFmt w:val="bullet"/>
      <w:lvlText w:val="-"/>
      <w:lvlJc w:val="left"/>
      <w:pPr>
        <w:ind w:left="159" w:firstLine="0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778C9F68">
      <w:start w:val="1"/>
      <w:numFmt w:val="bullet"/>
      <w:lvlText w:val="o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D55A71A6">
      <w:start w:val="1"/>
      <w:numFmt w:val="bullet"/>
      <w:lvlText w:val="▪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71F2DA94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E69438EE">
      <w:start w:val="1"/>
      <w:numFmt w:val="bullet"/>
      <w:lvlText w:val="o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4C467724">
      <w:start w:val="1"/>
      <w:numFmt w:val="bullet"/>
      <w:lvlText w:val="▪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FF4457D8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83CC8F3A">
      <w:start w:val="1"/>
      <w:numFmt w:val="bullet"/>
      <w:lvlText w:val="o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0674DB4C">
      <w:start w:val="1"/>
      <w:numFmt w:val="bullet"/>
      <w:lvlText w:val="▪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7B123FAA"/>
    <w:multiLevelType w:val="hybridMultilevel"/>
    <w:tmpl w:val="99421F22"/>
    <w:lvl w:ilvl="0" w:tplc="B7CCADC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667427">
    <w:abstractNumId w:val="1"/>
  </w:num>
  <w:num w:numId="2" w16cid:durableId="1680431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44D"/>
    <w:rsid w:val="00051431"/>
    <w:rsid w:val="00057832"/>
    <w:rsid w:val="001C52D4"/>
    <w:rsid w:val="0023076A"/>
    <w:rsid w:val="002A47D9"/>
    <w:rsid w:val="003935CF"/>
    <w:rsid w:val="003C77CF"/>
    <w:rsid w:val="00476A40"/>
    <w:rsid w:val="004A289B"/>
    <w:rsid w:val="004C00A3"/>
    <w:rsid w:val="00590647"/>
    <w:rsid w:val="005F3A2B"/>
    <w:rsid w:val="005F6475"/>
    <w:rsid w:val="00646381"/>
    <w:rsid w:val="006622E3"/>
    <w:rsid w:val="006E125F"/>
    <w:rsid w:val="007D1D0E"/>
    <w:rsid w:val="007D24C8"/>
    <w:rsid w:val="007F4DF3"/>
    <w:rsid w:val="00805FA2"/>
    <w:rsid w:val="00836277"/>
    <w:rsid w:val="0084263D"/>
    <w:rsid w:val="00843FB0"/>
    <w:rsid w:val="00851AA0"/>
    <w:rsid w:val="00872CF8"/>
    <w:rsid w:val="00884245"/>
    <w:rsid w:val="00897A08"/>
    <w:rsid w:val="008D6013"/>
    <w:rsid w:val="00920216"/>
    <w:rsid w:val="00936354"/>
    <w:rsid w:val="00946564"/>
    <w:rsid w:val="00985C3E"/>
    <w:rsid w:val="00AA6B6C"/>
    <w:rsid w:val="00AB7081"/>
    <w:rsid w:val="00BA1FE0"/>
    <w:rsid w:val="00BD7544"/>
    <w:rsid w:val="00BF3F75"/>
    <w:rsid w:val="00C45C46"/>
    <w:rsid w:val="00C84748"/>
    <w:rsid w:val="00C91E65"/>
    <w:rsid w:val="00CC2B94"/>
    <w:rsid w:val="00CC4FC7"/>
    <w:rsid w:val="00CE4F12"/>
    <w:rsid w:val="00D20997"/>
    <w:rsid w:val="00D44545"/>
    <w:rsid w:val="00D75495"/>
    <w:rsid w:val="00E1252F"/>
    <w:rsid w:val="00E2591A"/>
    <w:rsid w:val="00E26605"/>
    <w:rsid w:val="00E56DCF"/>
    <w:rsid w:val="00E80B22"/>
    <w:rsid w:val="00E91D9C"/>
    <w:rsid w:val="00EE3101"/>
    <w:rsid w:val="00F65CE0"/>
    <w:rsid w:val="00F8144D"/>
    <w:rsid w:val="00FE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7129F"/>
  <w15:chartTrackingRefBased/>
  <w15:docId w15:val="{57532D22-5D52-4E63-AA78-B7D83768E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91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144D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144D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144D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144D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144D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144D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144D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144D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144D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14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14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14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144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144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14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14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14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14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144D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81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144D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81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144D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8144D"/>
    <w:rPr>
      <w:i/>
      <w:iCs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List Paragraph,Akapit z listą BS,Kolorowa lista — akcent 11,CW_Lista,List_Paragraph,Multilevel para_II,Bullet1,Bullets,List Paragraph 1"/>
    <w:basedOn w:val="Normalny"/>
    <w:link w:val="AkapitzlistZnak"/>
    <w:qFormat/>
    <w:rsid w:val="00F8144D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8144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144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144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144D"/>
    <w:rPr>
      <w:b/>
      <w:bCs/>
      <w:smallCaps/>
      <w:color w:val="2F5496" w:themeColor="accent1" w:themeShade="BF"/>
      <w:spacing w:val="5"/>
    </w:rPr>
  </w:style>
  <w:style w:type="character" w:customStyle="1" w:styleId="Teksttreci">
    <w:name w:val="Tekst treści_"/>
    <w:basedOn w:val="Domylnaczcionkaakapitu"/>
    <w:link w:val="Teksttreci0"/>
    <w:rsid w:val="00E2591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2591A"/>
    <w:pPr>
      <w:shd w:val="clear" w:color="auto" w:fill="FFFFFF"/>
      <w:spacing w:after="120"/>
      <w:jc w:val="both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E91D9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1D9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4DF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4DF3"/>
    <w:rPr>
      <w:rFonts w:ascii="Courier New" w:eastAsia="Courier New" w:hAnsi="Courier New" w:cs="Courier New"/>
      <w:color w:val="000000"/>
      <w:kern w:val="0"/>
      <w:sz w:val="20"/>
      <w:szCs w:val="20"/>
      <w:lang w:eastAsia="pl-PL" w:bidi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4DF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426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263D"/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426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263D"/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Akapit z listą BS Znak,Kolorowa lista — akcent 11 Znak,CW_Lista Znak"/>
    <w:link w:val="Akapitzlist"/>
    <w:locked/>
    <w:rsid w:val="00C45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c69859-861d-462c-a162-1bece0dcecc5">
      <Terms xmlns="http://schemas.microsoft.com/office/infopath/2007/PartnerControls"/>
    </lcf76f155ced4ddcb4097134ff3c332f>
    <TaxCatchAll xmlns="7ba946c7-a029-4ceb-b1bc-4700cc8391e6" xsi:nil="true"/>
    <kolejno_x015b__x0107_ xmlns="19c69859-861d-462c-a162-1bece0dcecc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60CB162AB03B48A86E8BD3DF3AEED7" ma:contentTypeVersion="14" ma:contentTypeDescription="Utwórz nowy dokument." ma:contentTypeScope="" ma:versionID="bdd387c697c18ae417bc846c3056b811">
  <xsd:schema xmlns:xsd="http://www.w3.org/2001/XMLSchema" xmlns:xs="http://www.w3.org/2001/XMLSchema" xmlns:p="http://schemas.microsoft.com/office/2006/metadata/properties" xmlns:ns2="19c69859-861d-462c-a162-1bece0dcecc5" xmlns:ns3="7ba946c7-a029-4ceb-b1bc-4700cc8391e6" targetNamespace="http://schemas.microsoft.com/office/2006/metadata/properties" ma:root="true" ma:fieldsID="5ba24296feb4cffd229a8c91ae88c3e5" ns2:_="" ns3:_="">
    <xsd:import namespace="19c69859-861d-462c-a162-1bece0dcecc5"/>
    <xsd:import namespace="7ba946c7-a029-4ceb-b1bc-4700cc8391e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69859-861d-462c-a162-1bece0dcecc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b0f6bc5c-d9ce-45f3-87de-ef4b54ca50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kolejno_x015b__x0107_" ma:index="21" nillable="true" ma:displayName="kolejność" ma:format="Dropdown" ma:internalName="kolejno_x015b__x0107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946c7-a029-4ceb-b1bc-4700cc8391e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1412ce7-593c-40e0-bf92-15b070b331ec}" ma:internalName="TaxCatchAll" ma:showField="CatchAllData" ma:web="7ba946c7-a029-4ceb-b1bc-4700cc8391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06DC98-A115-4061-B3F3-9169CE928C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5493B5-23E1-453A-9FCC-91C44131DFCF}">
  <ds:schemaRefs>
    <ds:schemaRef ds:uri="http://schemas.microsoft.com/office/2006/metadata/properties"/>
    <ds:schemaRef ds:uri="http://schemas.microsoft.com/office/infopath/2007/PartnerControls"/>
    <ds:schemaRef ds:uri="19c69859-861d-462c-a162-1bece0dcecc5"/>
    <ds:schemaRef ds:uri="7ba946c7-a029-4ceb-b1bc-4700cc8391e6"/>
  </ds:schemaRefs>
</ds:datastoreItem>
</file>

<file path=customXml/itemProps3.xml><?xml version="1.0" encoding="utf-8"?>
<ds:datastoreItem xmlns:ds="http://schemas.openxmlformats.org/officeDocument/2006/customXml" ds:itemID="{B38FC3C0-36CD-4671-8848-5FA45334A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c69859-861d-462c-a162-1bece0dcecc5"/>
    <ds:schemaRef ds:uri="7ba946c7-a029-4ceb-b1bc-4700cc8391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672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um</dc:creator>
  <cp:keywords/>
  <dc:description/>
  <cp:lastModifiedBy>Martyna Piecuch</cp:lastModifiedBy>
  <cp:revision>7</cp:revision>
  <cp:lastPrinted>2025-10-16T13:56:00Z</cp:lastPrinted>
  <dcterms:created xsi:type="dcterms:W3CDTF">2025-10-22T18:42:00Z</dcterms:created>
  <dcterms:modified xsi:type="dcterms:W3CDTF">2025-12-16T19:26:00Z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0x0101000E60CB162AB03B48A86E8BD3DF3AEED7</vt:lpwstr>
  </property>
  <property fmtid="{D5CDD505-2E9C-101B-9397-08002B2CF9AE}" pid="3" name="MediaServiceImageTags">
    <vt:lpwstr/>
  </property>
</Properties>
</file>